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4F65" w:rsidRDefault="00EC3308">
      <w:pPr>
        <w:rPr>
          <w:rFonts w:ascii="Arial" w:eastAsia="Arial" w:hAnsi="Arial" w:cs="Arial"/>
          <w:sz w:val="22"/>
          <w:szCs w:val="22"/>
        </w:rPr>
      </w:pPr>
      <w:r>
        <w:rPr>
          <w:rFonts w:ascii="Arial" w:eastAsia="Arial" w:hAnsi="Arial" w:cs="Arial"/>
          <w:b/>
          <w:sz w:val="22"/>
          <w:szCs w:val="22"/>
        </w:rPr>
        <w:t>Hyperoxia-Induced Lung Engraftment of Human Cord Blood Monocytes in a Humanized Mouse Model of Bronchopulmonary Dysplasia</w:t>
      </w:r>
    </w:p>
    <w:p w14:paraId="00000002" w14:textId="77777777" w:rsidR="00244F65" w:rsidRDefault="00EC3308">
      <w:pPr>
        <w:spacing w:after="0" w:line="360" w:lineRule="auto"/>
        <w:rPr>
          <w:rFonts w:ascii="Arial" w:eastAsia="Arial" w:hAnsi="Arial" w:cs="Arial"/>
          <w:sz w:val="20"/>
          <w:szCs w:val="20"/>
          <w:vertAlign w:val="superscript"/>
        </w:rPr>
      </w:pPr>
      <w:r>
        <w:rPr>
          <w:rFonts w:ascii="Arial" w:eastAsia="Arial" w:hAnsi="Arial" w:cs="Arial"/>
          <w:b/>
          <w:sz w:val="20"/>
          <w:szCs w:val="20"/>
          <w:u w:val="single"/>
        </w:rPr>
        <w:t xml:space="preserve">Priya </w:t>
      </w:r>
      <w:proofErr w:type="spellStart"/>
      <w:r>
        <w:rPr>
          <w:rFonts w:ascii="Arial" w:eastAsia="Arial" w:hAnsi="Arial" w:cs="Arial"/>
          <w:b/>
          <w:sz w:val="20"/>
          <w:szCs w:val="20"/>
          <w:u w:val="single"/>
        </w:rPr>
        <w:t>Reddy</w:t>
      </w:r>
      <w:r>
        <w:rPr>
          <w:rFonts w:ascii="Arial" w:eastAsia="Arial" w:hAnsi="Arial" w:cs="Arial"/>
          <w:b/>
          <w:sz w:val="20"/>
          <w:szCs w:val="20"/>
        </w:rPr>
        <w:t>,</w:t>
      </w:r>
      <w:r>
        <w:rPr>
          <w:rFonts w:ascii="Arial" w:eastAsia="Arial" w:hAnsi="Arial" w:cs="Arial"/>
          <w:sz w:val="20"/>
          <w:szCs w:val="20"/>
          <w:vertAlign w:val="superscript"/>
        </w:rPr>
        <w:t>a</w:t>
      </w:r>
      <w:proofErr w:type="spellEnd"/>
      <w:r>
        <w:rPr>
          <w:rFonts w:ascii="Arial" w:eastAsia="Arial" w:hAnsi="Arial" w:cs="Arial"/>
          <w:sz w:val="20"/>
          <w:szCs w:val="20"/>
          <w:vertAlign w:val="superscript"/>
        </w:rPr>
        <w:t xml:space="preserve"> </w:t>
      </w:r>
      <w:r>
        <w:rPr>
          <w:rFonts w:ascii="Arial" w:eastAsia="Arial" w:hAnsi="Arial" w:cs="Arial"/>
          <w:sz w:val="20"/>
          <w:szCs w:val="20"/>
        </w:rPr>
        <w:t xml:space="preserve">Rob </w:t>
      </w:r>
      <w:proofErr w:type="spellStart"/>
      <w:r>
        <w:rPr>
          <w:rFonts w:ascii="Arial" w:eastAsia="Arial" w:hAnsi="Arial" w:cs="Arial"/>
          <w:sz w:val="20"/>
          <w:szCs w:val="20"/>
        </w:rPr>
        <w:t>Birkett,</w:t>
      </w:r>
      <w:r>
        <w:rPr>
          <w:rFonts w:ascii="Arial" w:eastAsia="Arial" w:hAnsi="Arial" w:cs="Arial"/>
          <w:sz w:val="20"/>
          <w:szCs w:val="20"/>
          <w:vertAlign w:val="superscript"/>
        </w:rPr>
        <w:t>b</w:t>
      </w:r>
      <w:r>
        <w:rPr>
          <w:rFonts w:ascii="Arial" w:eastAsia="Arial" w:hAnsi="Arial" w:cs="Arial"/>
          <w:sz w:val="20"/>
          <w:szCs w:val="20"/>
        </w:rPr>
        <w:t>Juanita</w:t>
      </w:r>
      <w:proofErr w:type="spellEnd"/>
      <w:r>
        <w:rPr>
          <w:rFonts w:ascii="Arial" w:eastAsia="Arial" w:hAnsi="Arial" w:cs="Arial"/>
          <w:sz w:val="20"/>
          <w:szCs w:val="20"/>
        </w:rPr>
        <w:t xml:space="preserve"> </w:t>
      </w:r>
      <w:proofErr w:type="spellStart"/>
      <w:r>
        <w:rPr>
          <w:rFonts w:ascii="Arial" w:eastAsia="Arial" w:hAnsi="Arial" w:cs="Arial"/>
          <w:sz w:val="20"/>
          <w:szCs w:val="20"/>
        </w:rPr>
        <w:t>Saqibuddin,</w:t>
      </w:r>
      <w:r>
        <w:rPr>
          <w:rFonts w:ascii="Arial" w:eastAsia="Arial" w:hAnsi="Arial" w:cs="Arial"/>
          <w:sz w:val="20"/>
          <w:szCs w:val="20"/>
          <w:vertAlign w:val="superscript"/>
        </w:rPr>
        <w:t>b</w:t>
      </w:r>
      <w:proofErr w:type="spellEnd"/>
      <w:r>
        <w:rPr>
          <w:rFonts w:ascii="Arial" w:eastAsia="Arial" w:hAnsi="Arial" w:cs="Arial"/>
          <w:sz w:val="20"/>
          <w:szCs w:val="20"/>
        </w:rPr>
        <w:t xml:space="preserve"> Kelli </w:t>
      </w:r>
      <w:proofErr w:type="spellStart"/>
      <w:r>
        <w:rPr>
          <w:rFonts w:ascii="Arial" w:eastAsia="Arial" w:hAnsi="Arial" w:cs="Arial"/>
          <w:sz w:val="20"/>
          <w:szCs w:val="20"/>
        </w:rPr>
        <w:t>Stephens,</w:t>
      </w:r>
      <w:r>
        <w:rPr>
          <w:rFonts w:ascii="Arial" w:eastAsia="Arial" w:hAnsi="Arial" w:cs="Arial"/>
          <w:sz w:val="20"/>
          <w:szCs w:val="20"/>
          <w:vertAlign w:val="superscript"/>
        </w:rPr>
        <w:t>b</w:t>
      </w:r>
      <w:proofErr w:type="spellEnd"/>
      <w:r>
        <w:rPr>
          <w:rFonts w:ascii="Arial" w:eastAsia="Arial" w:hAnsi="Arial" w:cs="Arial"/>
          <w:sz w:val="20"/>
          <w:szCs w:val="20"/>
          <w:vertAlign w:val="superscript"/>
        </w:rPr>
        <w:t xml:space="preserve"> </w:t>
      </w:r>
      <w:r>
        <w:rPr>
          <w:rFonts w:ascii="Arial" w:eastAsia="Arial" w:hAnsi="Arial" w:cs="Arial"/>
          <w:sz w:val="20"/>
          <w:szCs w:val="20"/>
        </w:rPr>
        <w:t xml:space="preserve">Suchitra </w:t>
      </w:r>
      <w:proofErr w:type="spellStart"/>
      <w:r>
        <w:rPr>
          <w:rFonts w:ascii="Arial" w:eastAsia="Arial" w:hAnsi="Arial" w:cs="Arial"/>
          <w:sz w:val="20"/>
          <w:szCs w:val="20"/>
        </w:rPr>
        <w:t>Swaminathan,</w:t>
      </w:r>
      <w:r>
        <w:rPr>
          <w:rFonts w:ascii="Arial" w:eastAsia="Arial" w:hAnsi="Arial" w:cs="Arial"/>
          <w:sz w:val="20"/>
          <w:szCs w:val="20"/>
          <w:vertAlign w:val="superscript"/>
        </w:rPr>
        <w:t>b</w:t>
      </w:r>
      <w:proofErr w:type="spellEnd"/>
      <w:r>
        <w:rPr>
          <w:rFonts w:ascii="Arial" w:eastAsia="Arial" w:hAnsi="Arial" w:cs="Arial"/>
          <w:sz w:val="20"/>
          <w:szCs w:val="20"/>
          <w:vertAlign w:val="superscript"/>
        </w:rPr>
        <w:t xml:space="preserve"> </w:t>
      </w:r>
      <w:r>
        <w:rPr>
          <w:rFonts w:ascii="Arial" w:eastAsia="Arial" w:hAnsi="Arial" w:cs="Arial"/>
          <w:sz w:val="20"/>
          <w:szCs w:val="20"/>
        </w:rPr>
        <w:t xml:space="preserve">Alexander </w:t>
      </w:r>
      <w:proofErr w:type="spellStart"/>
      <w:r>
        <w:rPr>
          <w:rFonts w:ascii="Arial" w:eastAsia="Arial" w:hAnsi="Arial" w:cs="Arial"/>
          <w:sz w:val="20"/>
          <w:szCs w:val="20"/>
        </w:rPr>
        <w:t>Misharin,</w:t>
      </w:r>
      <w:r>
        <w:rPr>
          <w:rFonts w:ascii="Arial" w:eastAsia="Arial" w:hAnsi="Arial" w:cs="Arial"/>
          <w:sz w:val="20"/>
          <w:szCs w:val="20"/>
          <w:vertAlign w:val="superscript"/>
        </w:rPr>
        <w:t>c</w:t>
      </w:r>
      <w:proofErr w:type="spellEnd"/>
      <w:r>
        <w:rPr>
          <w:rFonts w:ascii="Arial" w:eastAsia="Arial" w:hAnsi="Arial" w:cs="Arial"/>
          <w:sz w:val="20"/>
          <w:szCs w:val="20"/>
          <w:vertAlign w:val="superscript"/>
        </w:rPr>
        <w:t xml:space="preserve"> </w:t>
      </w:r>
      <w:r>
        <w:rPr>
          <w:rFonts w:ascii="Arial" w:eastAsia="Arial" w:hAnsi="Arial" w:cs="Arial"/>
          <w:sz w:val="20"/>
          <w:szCs w:val="20"/>
        </w:rPr>
        <w:t xml:space="preserve">and *Karen </w:t>
      </w:r>
      <w:proofErr w:type="spellStart"/>
      <w:r>
        <w:rPr>
          <w:rFonts w:ascii="Arial" w:eastAsia="Arial" w:hAnsi="Arial" w:cs="Arial"/>
          <w:sz w:val="20"/>
          <w:szCs w:val="20"/>
        </w:rPr>
        <w:t>Mestan</w:t>
      </w:r>
      <w:proofErr w:type="spellEnd"/>
      <w:r>
        <w:rPr>
          <w:rFonts w:ascii="Arial" w:eastAsia="Arial" w:hAnsi="Arial" w:cs="Arial"/>
          <w:sz w:val="20"/>
          <w:szCs w:val="20"/>
        </w:rPr>
        <w:t xml:space="preserve"> (PI) </w:t>
      </w:r>
      <w:r>
        <w:rPr>
          <w:rFonts w:ascii="Arial" w:eastAsia="Arial" w:hAnsi="Arial" w:cs="Arial"/>
          <w:sz w:val="20"/>
          <w:szCs w:val="20"/>
          <w:vertAlign w:val="superscript"/>
        </w:rPr>
        <w:t>b</w:t>
      </w:r>
    </w:p>
    <w:p w14:paraId="00000003" w14:textId="77777777" w:rsidR="00244F65" w:rsidRDefault="00EC3308">
      <w:pPr>
        <w:spacing w:after="0" w:line="360" w:lineRule="auto"/>
        <w:rPr>
          <w:rFonts w:ascii="Arial" w:eastAsia="Arial" w:hAnsi="Arial" w:cs="Arial"/>
          <w:i/>
          <w:sz w:val="18"/>
          <w:szCs w:val="18"/>
        </w:rPr>
      </w:pPr>
      <w:r>
        <w:rPr>
          <w:rFonts w:ascii="Arial" w:eastAsia="Arial" w:hAnsi="Arial" w:cs="Arial"/>
          <w:i/>
          <w:sz w:val="18"/>
          <w:szCs w:val="18"/>
          <w:vertAlign w:val="superscript"/>
        </w:rPr>
        <w:t>a</w:t>
      </w:r>
      <w:r>
        <w:rPr>
          <w:rFonts w:ascii="Arial" w:eastAsia="Arial" w:hAnsi="Arial" w:cs="Arial"/>
          <w:i/>
          <w:sz w:val="18"/>
          <w:szCs w:val="18"/>
        </w:rPr>
        <w:t xml:space="preserve"> Department of Neuroscience, The Ohio State University, Columbus, OH, 43210</w:t>
      </w:r>
    </w:p>
    <w:p w14:paraId="00000004" w14:textId="77777777" w:rsidR="00244F65" w:rsidRDefault="00EC3308">
      <w:pPr>
        <w:spacing w:after="0" w:line="360" w:lineRule="auto"/>
        <w:rPr>
          <w:rFonts w:ascii="Arial" w:eastAsia="Arial" w:hAnsi="Arial" w:cs="Arial"/>
          <w:i/>
          <w:sz w:val="18"/>
          <w:szCs w:val="18"/>
        </w:rPr>
      </w:pPr>
      <w:r>
        <w:rPr>
          <w:rFonts w:ascii="Arial" w:eastAsia="Arial" w:hAnsi="Arial" w:cs="Arial"/>
          <w:i/>
          <w:sz w:val="18"/>
          <w:szCs w:val="18"/>
          <w:vertAlign w:val="superscript"/>
        </w:rPr>
        <w:t xml:space="preserve">b </w:t>
      </w:r>
      <w:r>
        <w:rPr>
          <w:rFonts w:ascii="Arial" w:eastAsia="Arial" w:hAnsi="Arial" w:cs="Arial"/>
          <w:i/>
          <w:sz w:val="18"/>
          <w:szCs w:val="18"/>
        </w:rPr>
        <w:t>Department of Pediatrics, Northwestern University Feinberg School of Medicine, Chicago, IL, 60611</w:t>
      </w:r>
    </w:p>
    <w:p w14:paraId="00000005" w14:textId="77777777" w:rsidR="00244F65" w:rsidRDefault="00EC3308">
      <w:pPr>
        <w:spacing w:after="0" w:line="360" w:lineRule="auto"/>
        <w:rPr>
          <w:rFonts w:ascii="Arial" w:eastAsia="Arial" w:hAnsi="Arial" w:cs="Arial"/>
          <w:i/>
          <w:sz w:val="18"/>
          <w:szCs w:val="18"/>
          <w:vertAlign w:val="superscript"/>
        </w:rPr>
      </w:pPr>
      <w:r>
        <w:rPr>
          <w:rFonts w:ascii="Arial" w:eastAsia="Arial" w:hAnsi="Arial" w:cs="Arial"/>
          <w:i/>
          <w:sz w:val="18"/>
          <w:szCs w:val="18"/>
          <w:vertAlign w:val="superscript"/>
        </w:rPr>
        <w:t xml:space="preserve">c </w:t>
      </w:r>
      <w:r>
        <w:rPr>
          <w:rFonts w:ascii="Arial" w:eastAsia="Arial" w:hAnsi="Arial" w:cs="Arial"/>
          <w:i/>
          <w:sz w:val="18"/>
          <w:szCs w:val="18"/>
        </w:rPr>
        <w:t>Department of Medicine, Northwestern University Fein</w:t>
      </w:r>
      <w:r>
        <w:rPr>
          <w:rFonts w:ascii="Arial" w:eastAsia="Arial" w:hAnsi="Arial" w:cs="Arial"/>
          <w:i/>
          <w:sz w:val="18"/>
          <w:szCs w:val="18"/>
        </w:rPr>
        <w:t>berg School of Medicine, Chicago, IL, 60611</w:t>
      </w:r>
    </w:p>
    <w:p w14:paraId="00000006" w14:textId="77777777" w:rsidR="00244F65" w:rsidRDefault="00EC3308">
      <w:pPr>
        <w:spacing w:after="0" w:line="360" w:lineRule="auto"/>
        <w:rPr>
          <w:rFonts w:ascii="Arial" w:eastAsia="Arial" w:hAnsi="Arial" w:cs="Arial"/>
          <w:i/>
          <w:sz w:val="18"/>
          <w:szCs w:val="18"/>
        </w:rPr>
      </w:pPr>
      <w:r>
        <w:rPr>
          <w:rFonts w:ascii="Arial" w:eastAsia="Arial" w:hAnsi="Arial" w:cs="Arial"/>
          <w:i/>
          <w:sz w:val="18"/>
          <w:szCs w:val="18"/>
        </w:rPr>
        <w:t xml:space="preserve">email: </w:t>
      </w:r>
      <w:hyperlink r:id="rId5">
        <w:r>
          <w:rPr>
            <w:rFonts w:ascii="Arial" w:eastAsia="Arial" w:hAnsi="Arial" w:cs="Arial"/>
            <w:i/>
            <w:color w:val="0563C1"/>
            <w:sz w:val="18"/>
            <w:szCs w:val="18"/>
            <w:u w:val="single"/>
          </w:rPr>
          <w:t>reddy.306@osu.edu</w:t>
        </w:r>
      </w:hyperlink>
      <w:r>
        <w:rPr>
          <w:rFonts w:ascii="Arial" w:eastAsia="Arial" w:hAnsi="Arial" w:cs="Arial"/>
          <w:i/>
          <w:sz w:val="18"/>
          <w:szCs w:val="18"/>
        </w:rPr>
        <w:t xml:space="preserve">      *PI: </w:t>
      </w:r>
      <w:hyperlink r:id="rId6">
        <w:r>
          <w:rPr>
            <w:rFonts w:ascii="Arial" w:eastAsia="Arial" w:hAnsi="Arial" w:cs="Arial"/>
            <w:i/>
            <w:color w:val="0563C1"/>
            <w:sz w:val="18"/>
            <w:szCs w:val="18"/>
            <w:u w:val="single"/>
          </w:rPr>
          <w:t>k-mestan@northwestern.edu</w:t>
        </w:r>
      </w:hyperlink>
    </w:p>
    <w:p w14:paraId="00000007" w14:textId="77777777" w:rsidR="00244F65" w:rsidRDefault="00244F65">
      <w:pPr>
        <w:spacing w:after="0" w:line="360" w:lineRule="auto"/>
        <w:rPr>
          <w:rFonts w:ascii="Arial" w:eastAsia="Arial" w:hAnsi="Arial" w:cs="Arial"/>
          <w:i/>
          <w:sz w:val="18"/>
          <w:szCs w:val="18"/>
        </w:rPr>
      </w:pPr>
    </w:p>
    <w:p w14:paraId="00000008" w14:textId="78A873D1" w:rsidR="00244F65" w:rsidRDefault="00EC3308">
      <w:pPr>
        <w:rPr>
          <w:rFonts w:ascii="Arial" w:eastAsia="Arial" w:hAnsi="Arial" w:cs="Arial"/>
          <w:sz w:val="18"/>
          <w:szCs w:val="18"/>
        </w:rPr>
      </w:pPr>
      <w:bookmarkStart w:id="0" w:name="_heading=h.gjdgxs" w:colFirst="0" w:colLast="0"/>
      <w:bookmarkEnd w:id="0"/>
      <w:r>
        <w:rPr>
          <w:rFonts w:ascii="Arial" w:eastAsia="Arial" w:hAnsi="Arial" w:cs="Arial"/>
          <w:sz w:val="18"/>
          <w:szCs w:val="18"/>
        </w:rPr>
        <w:t>Abstract: Bronchopulmonary dysplasia (BPD) is often characterized by chronic lung injury secondary to high levels of oxygen during the neonatal period. Previous studies have demonstrated that administration of human cord blood (CB) monocytes results in dec</w:t>
      </w:r>
      <w:r>
        <w:rPr>
          <w:rFonts w:ascii="Arial" w:eastAsia="Arial" w:hAnsi="Arial" w:cs="Arial"/>
          <w:sz w:val="18"/>
          <w:szCs w:val="18"/>
        </w:rPr>
        <w:t xml:space="preserve">reased alveolar damage due to hyperoxia exposure but fail to demonstrate engraftment of these cells in the lungs of the animal model. We hypothesize that administration of human CB monocytes in MISTRG humanized mice ameliorate the BPD-like phenotype after </w:t>
      </w:r>
      <w:r>
        <w:rPr>
          <w:rFonts w:ascii="Arial" w:eastAsia="Arial" w:hAnsi="Arial" w:cs="Arial"/>
          <w:sz w:val="18"/>
          <w:szCs w:val="18"/>
        </w:rPr>
        <w:t xml:space="preserve">hyperoxia exposure. Cord blood was collected after delivery and processed within 36 hours. Monocytes and CD34+ cells were isolated by magnetic-activated cell sorting and intra-hepatically injected at Day 0-1 of life. Pups were then exposed to </w:t>
      </w:r>
      <w:proofErr w:type="spellStart"/>
      <w:r>
        <w:rPr>
          <w:rFonts w:ascii="Arial" w:eastAsia="Arial" w:hAnsi="Arial" w:cs="Arial"/>
          <w:sz w:val="18"/>
          <w:szCs w:val="18"/>
        </w:rPr>
        <w:t>normoxia</w:t>
      </w:r>
      <w:proofErr w:type="spellEnd"/>
      <w:r>
        <w:rPr>
          <w:rFonts w:ascii="Arial" w:eastAsia="Arial" w:hAnsi="Arial" w:cs="Arial"/>
          <w:sz w:val="18"/>
          <w:szCs w:val="18"/>
        </w:rPr>
        <w:t xml:space="preserve"> (21%</w:t>
      </w:r>
      <w:r>
        <w:rPr>
          <w:rFonts w:ascii="Arial" w:eastAsia="Arial" w:hAnsi="Arial" w:cs="Arial"/>
          <w:sz w:val="18"/>
          <w:szCs w:val="18"/>
        </w:rPr>
        <w:t xml:space="preserve"> oxygen) or hyperoxia (85%) for 7 days. Lungs and livers were harvested, and H&amp;E staining and immunohistochemistry for human CD45 were</w:t>
      </w:r>
      <w:r>
        <w:rPr>
          <w:rFonts w:ascii="Arial" w:eastAsia="Arial" w:hAnsi="Arial" w:cs="Arial"/>
          <w:sz w:val="18"/>
          <w:szCs w:val="18"/>
        </w:rPr>
        <w:t xml:space="preserve"> performed. Alveolar count and area were measured and CD45 expression was quantified. Immunohistochemistry confirmed human </w:t>
      </w:r>
      <w:r>
        <w:rPr>
          <w:rFonts w:ascii="Arial" w:eastAsia="Arial" w:hAnsi="Arial" w:cs="Arial"/>
          <w:sz w:val="18"/>
          <w:szCs w:val="18"/>
        </w:rPr>
        <w:t>CD45 expression in the liver and lung after intra-hepatic injection of CB cells. The p</w:t>
      </w:r>
      <w:r>
        <w:rPr>
          <w:rFonts w:ascii="Arial" w:eastAsia="Arial" w:hAnsi="Arial" w:cs="Arial"/>
          <w:sz w:val="18"/>
          <w:szCs w:val="18"/>
        </w:rPr>
        <w:t xml:space="preserve">resence of human CD45+ cells in the liver was more pronounced with CB monocytes versus CD34+ cells and in mice exposed to hyperoxia versus </w:t>
      </w:r>
      <w:proofErr w:type="spellStart"/>
      <w:r>
        <w:rPr>
          <w:rFonts w:ascii="Arial" w:eastAsia="Arial" w:hAnsi="Arial" w:cs="Arial"/>
          <w:sz w:val="18"/>
          <w:szCs w:val="18"/>
        </w:rPr>
        <w:t>normoxia</w:t>
      </w:r>
      <w:proofErr w:type="spellEnd"/>
      <w:r>
        <w:rPr>
          <w:rFonts w:ascii="Arial" w:eastAsia="Arial" w:hAnsi="Arial" w:cs="Arial"/>
          <w:sz w:val="18"/>
          <w:szCs w:val="18"/>
        </w:rPr>
        <w:t xml:space="preserve"> (P&lt;0.01). Engraftment of C</w:t>
      </w:r>
      <w:r>
        <w:rPr>
          <w:rFonts w:ascii="Arial" w:eastAsia="Arial" w:hAnsi="Arial" w:cs="Arial"/>
          <w:sz w:val="18"/>
          <w:szCs w:val="18"/>
        </w:rPr>
        <w:t xml:space="preserve">D45 cells was demonstrated in the </w:t>
      </w:r>
      <w:r>
        <w:rPr>
          <w:rFonts w:ascii="Arial" w:eastAsia="Arial" w:hAnsi="Arial" w:cs="Arial"/>
          <w:sz w:val="18"/>
          <w:szCs w:val="18"/>
        </w:rPr>
        <w:t>lungs of mice injected with both monocytes and CD34+ cells, and in mice injected with sorted monocytes, but not in mice treated with isolated CD34+ cells. Preliminarily, CD45 positively-stained cells appeared more prominent wi</w:t>
      </w:r>
      <w:r>
        <w:rPr>
          <w:rFonts w:ascii="Arial" w:eastAsia="Arial" w:hAnsi="Arial" w:cs="Arial"/>
          <w:sz w:val="18"/>
          <w:szCs w:val="18"/>
        </w:rPr>
        <w:t>th hyperoxia exposure, and lung histology revealed a trend towards increased alveolar number and decreased alveolar area in mice injected with sorted CB monocytes. These associations indicate that intra-hepatic delivery of CB-derived monocytes leads to eng</w:t>
      </w:r>
      <w:r>
        <w:rPr>
          <w:rFonts w:ascii="Arial" w:eastAsia="Arial" w:hAnsi="Arial" w:cs="Arial"/>
          <w:sz w:val="18"/>
          <w:szCs w:val="18"/>
        </w:rPr>
        <w:t xml:space="preserve">raftment of human CD45+ cells in murine lungs and attenuates alveolar simplification due to hyperoxia. Completion of the above studies will demonstrate the extent to which CB monocytes may have a protective effect on neonatal lungs exposed to hyperoxia. </w:t>
      </w:r>
    </w:p>
    <w:p w14:paraId="00000009" w14:textId="77777777" w:rsidR="00244F65" w:rsidRDefault="00244F65">
      <w:pPr>
        <w:rPr>
          <w:rFonts w:ascii="Arial" w:eastAsia="Arial" w:hAnsi="Arial" w:cs="Arial"/>
          <w:sz w:val="18"/>
          <w:szCs w:val="18"/>
        </w:rPr>
      </w:pPr>
    </w:p>
    <w:p w14:paraId="0000000A" w14:textId="77777777" w:rsidR="00244F65" w:rsidRDefault="00244F65">
      <w:pPr>
        <w:rPr>
          <w:sz w:val="22"/>
          <w:szCs w:val="22"/>
        </w:rPr>
      </w:pPr>
    </w:p>
    <w:p w14:paraId="0000000B" w14:textId="77777777" w:rsidR="00244F65" w:rsidRDefault="00244F65">
      <w:pPr>
        <w:rPr>
          <w:sz w:val="22"/>
          <w:szCs w:val="22"/>
        </w:rPr>
      </w:pPr>
    </w:p>
    <w:p w14:paraId="0000000C" w14:textId="77777777" w:rsidR="00244F65" w:rsidRDefault="00EC3308">
      <w:pPr>
        <w:rPr>
          <w:b/>
          <w:sz w:val="22"/>
          <w:szCs w:val="22"/>
        </w:rPr>
      </w:pPr>
      <w:r>
        <w:rPr>
          <w:sz w:val="22"/>
          <w:szCs w:val="22"/>
        </w:rPr>
        <w:t xml:space="preserve"> </w:t>
      </w:r>
    </w:p>
    <w:p w14:paraId="0000000D" w14:textId="77777777" w:rsidR="00244F65" w:rsidRDefault="00244F65"/>
    <w:sectPr w:rsidR="00244F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65"/>
    <w:rsid w:val="00244F65"/>
    <w:rsid w:val="00E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F8EC"/>
  <w15:docId w15:val="{E4FAEEDC-7B53-4078-B206-16E8CAB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15A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mestan@northwestern.edu" TargetMode="External"/><Relationship Id="rId5" Type="http://schemas.openxmlformats.org/officeDocument/2006/relationships/hyperlink" Target="mailto:reddy.306@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f/kCAVH4ZNU68DAaR+pQtwiSQ==">AMUW2mWDIaSFNMa4jCk7nWGJCUj/ywPUYmKysmuEoZQOokoON+GnyaboXx29O0C1O/qDTCYbfzbSMDdxQwLk4sNku6trD+Ubq6+5yZIIOhpyMxjzIKLH7RxaJ61hlw4i/1hpLnshbXm5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 Titanium</cp:lastModifiedBy>
  <cp:revision>2</cp:revision>
  <dcterms:created xsi:type="dcterms:W3CDTF">2021-02-26T01:13:00Z</dcterms:created>
  <dcterms:modified xsi:type="dcterms:W3CDTF">2021-05-08T06:49:00Z</dcterms:modified>
</cp:coreProperties>
</file>